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3097D" w14:textId="77777777" w:rsidR="00D61BF9" w:rsidRDefault="00D61BF9">
      <w:pPr>
        <w:rPr>
          <w:rFonts w:eastAsia="Times New Roman"/>
          <w:sz w:val="24"/>
          <w:szCs w:val="24"/>
        </w:rPr>
      </w:pPr>
    </w:p>
    <w:p w14:paraId="5A4FE0EB" w14:textId="77777777" w:rsidR="00D61BF9" w:rsidRDefault="00D61BF9" w:rsidP="00D61B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divId w:val="1486972003"/>
        <w:rPr>
          <w:rFonts w:ascii="Arial" w:eastAsia="Times New Roman" w:hAnsi="Arial" w:cs="Arial"/>
          <w:color w:val="FFFFFF"/>
          <w:sz w:val="20"/>
          <w:szCs w:val="20"/>
        </w:rPr>
      </w:pPr>
      <w:r>
        <w:rPr>
          <w:rStyle w:val="a4"/>
          <w:rFonts w:ascii="Arial" w:eastAsia="Times New Roman" w:hAnsi="Arial" w:cs="Arial"/>
          <w:caps/>
          <w:color w:val="FFFFFF"/>
          <w:spacing w:val="12"/>
          <w:sz w:val="20"/>
          <w:szCs w:val="20"/>
        </w:rPr>
        <w:t>НАУЧНЫЕ ИССЛЕДОВАНИЯ В КЫРГЫЗСКОЙ РЕСПУБЛИКЕ</w:t>
      </w:r>
    </w:p>
    <w:p w14:paraId="45746F69" w14:textId="77777777" w:rsidR="00D61BF9" w:rsidRDefault="00D61BF9">
      <w:pPr>
        <w:shd w:val="clear" w:color="auto" w:fill="FFFFFF"/>
        <w:jc w:val="center"/>
        <w:divId w:val="1302883383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b/>
          <w:bCs/>
          <w:caps/>
          <w:noProof/>
          <w:color w:val="446084"/>
          <w:sz w:val="48"/>
          <w:szCs w:val="48"/>
        </w:rPr>
        <w:drawing>
          <wp:inline distT="0" distB="0" distL="0" distR="0" wp14:anchorId="69699CF7" wp14:editId="13B7A0E0">
            <wp:extent cx="711200" cy="951230"/>
            <wp:effectExtent l="0" t="0" r="0" b="1270"/>
            <wp:docPr id="12" name="Рисунок 12" descr="Научные исследования в Кыргызской Республике">
              <a:hlinkClick xmlns:a="http://schemas.openxmlformats.org/drawingml/2006/main" r:id="rId5" tooltip="Научные исследования в Кыргызской Республике - Научные исследования в Кыргызской Республике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 descr="Научные исследования в Кыргызской Республи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2F965" w14:textId="77777777" w:rsidR="00D61BF9" w:rsidRDefault="00D61BF9" w:rsidP="00D61B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divId w:val="597832466"/>
        <w:rPr>
          <w:rFonts w:ascii="Arial" w:eastAsia="Times New Roman" w:hAnsi="Arial" w:cs="Arial"/>
          <w:color w:val="777777"/>
          <w:sz w:val="27"/>
          <w:szCs w:val="27"/>
        </w:rPr>
      </w:pPr>
    </w:p>
    <w:p w14:paraId="048660E6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jc w:val="right"/>
        <w:divId w:val="381683297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Утверждено </w:t>
      </w:r>
      <w:r>
        <w:rPr>
          <w:rFonts w:ascii="Arial" w:hAnsi="Arial" w:cs="Arial"/>
          <w:color w:val="777777"/>
          <w:sz w:val="27"/>
          <w:szCs w:val="27"/>
        </w:rPr>
        <w:br/>
        <w:t>приказом ВАК КР № 37</w:t>
      </w:r>
      <w:r>
        <w:rPr>
          <w:rFonts w:ascii="Arial" w:hAnsi="Arial" w:cs="Arial"/>
          <w:color w:val="777777"/>
          <w:sz w:val="27"/>
          <w:szCs w:val="27"/>
        </w:rPr>
        <w:br/>
        <w:t>от 11 июня 2020 г.</w:t>
      </w:r>
    </w:p>
    <w:p w14:paraId="32401CCA" w14:textId="77777777" w:rsidR="00D61BF9" w:rsidRDefault="00D61BF9">
      <w:pPr>
        <w:pStyle w:val="has-text-align-right"/>
        <w:shd w:val="clear" w:color="auto" w:fill="FFFFFF"/>
        <w:spacing w:before="0" w:beforeAutospacing="0" w:after="312" w:afterAutospacing="0"/>
        <w:jc w:val="right"/>
        <w:divId w:val="86587562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          </w:t>
      </w:r>
    </w:p>
    <w:p w14:paraId="609D44ED" w14:textId="77777777" w:rsidR="00D61BF9" w:rsidRDefault="00D61BF9">
      <w:pPr>
        <w:pStyle w:val="has-text-align-center"/>
        <w:shd w:val="clear" w:color="auto" w:fill="FFFFFF"/>
        <w:spacing w:before="0" w:beforeAutospacing="0" w:after="312" w:afterAutospacing="0"/>
        <w:jc w:val="center"/>
        <w:divId w:val="429351826"/>
        <w:rPr>
          <w:rFonts w:ascii="Arial" w:hAnsi="Arial" w:cs="Arial"/>
          <w:color w:val="777777"/>
          <w:sz w:val="27"/>
          <w:szCs w:val="27"/>
        </w:rPr>
      </w:pPr>
      <w:bookmarkStart w:id="0" w:name="_GoBack"/>
      <w:r>
        <w:rPr>
          <w:rStyle w:val="a4"/>
          <w:rFonts w:ascii="Arial" w:hAnsi="Arial" w:cs="Arial"/>
          <w:color w:val="777777"/>
          <w:sz w:val="27"/>
          <w:szCs w:val="27"/>
        </w:rPr>
        <w:t>Правила оформления статей в научном журнале</w:t>
      </w:r>
    </w:p>
    <w:bookmarkEnd w:id="0"/>
    <w:p w14:paraId="0C6A263F" w14:textId="77777777" w:rsidR="00D61BF9" w:rsidRDefault="00D61BF9">
      <w:pPr>
        <w:pStyle w:val="has-text-align-center"/>
        <w:shd w:val="clear" w:color="auto" w:fill="FFFFFF"/>
        <w:spacing w:before="0" w:beforeAutospacing="0" w:after="312" w:afterAutospacing="0"/>
        <w:jc w:val="center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Style w:val="a4"/>
          <w:rFonts w:ascii="Arial" w:hAnsi="Arial" w:cs="Arial"/>
          <w:color w:val="777777"/>
          <w:sz w:val="27"/>
          <w:szCs w:val="27"/>
        </w:rPr>
        <w:t xml:space="preserve">Национальной аттестационной комиссии При Президенте </w:t>
      </w:r>
      <w:proofErr w:type="spellStart"/>
      <w:r>
        <w:rPr>
          <w:rStyle w:val="a4"/>
          <w:rFonts w:ascii="Arial" w:hAnsi="Arial" w:cs="Arial"/>
          <w:color w:val="777777"/>
          <w:sz w:val="27"/>
          <w:szCs w:val="27"/>
        </w:rPr>
        <w:t>Кыргызской</w:t>
      </w:r>
      <w:proofErr w:type="spellEnd"/>
      <w:r>
        <w:rPr>
          <w:rStyle w:val="a4"/>
          <w:rFonts w:ascii="Arial" w:hAnsi="Arial" w:cs="Arial"/>
          <w:color w:val="777777"/>
          <w:sz w:val="27"/>
          <w:szCs w:val="27"/>
        </w:rPr>
        <w:t xml:space="preserve"> Республики</w:t>
      </w:r>
    </w:p>
    <w:p w14:paraId="5F49F2CF" w14:textId="77777777" w:rsidR="00D61BF9" w:rsidRDefault="00D61BF9">
      <w:pPr>
        <w:pStyle w:val="has-text-align-center"/>
        <w:shd w:val="clear" w:color="auto" w:fill="FFFFFF"/>
        <w:spacing w:before="0" w:beforeAutospacing="0" w:after="312" w:afterAutospacing="0"/>
        <w:jc w:val="center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Style w:val="a4"/>
          <w:rFonts w:ascii="Arial" w:hAnsi="Arial" w:cs="Arial"/>
          <w:color w:val="777777"/>
          <w:sz w:val="27"/>
          <w:szCs w:val="27"/>
        </w:rPr>
        <w:t xml:space="preserve">«Научные исследования в </w:t>
      </w:r>
      <w:proofErr w:type="spellStart"/>
      <w:r>
        <w:rPr>
          <w:rStyle w:val="a4"/>
          <w:rFonts w:ascii="Arial" w:hAnsi="Arial" w:cs="Arial"/>
          <w:color w:val="777777"/>
          <w:sz w:val="27"/>
          <w:szCs w:val="27"/>
        </w:rPr>
        <w:t>Кыргызской</w:t>
      </w:r>
      <w:proofErr w:type="spellEnd"/>
      <w:r>
        <w:rPr>
          <w:rStyle w:val="a4"/>
          <w:rFonts w:ascii="Arial" w:hAnsi="Arial" w:cs="Arial"/>
          <w:color w:val="777777"/>
          <w:sz w:val="27"/>
          <w:szCs w:val="27"/>
        </w:rPr>
        <w:t xml:space="preserve"> Республике»</w:t>
      </w:r>
    </w:p>
    <w:p w14:paraId="32F4EAAF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      Статья в журнал  может быть представлена на одном из трех языков: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кыргызском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, русском или английском, при этом для статей на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кыргызском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и русском языках необходимо представить перевод статьи на английском  языке, для статей на английском языке – перевод на русском или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кыргызском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языке.</w:t>
      </w:r>
    </w:p>
    <w:p w14:paraId="78DBFC3C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Для обеспечения высокого качества материалов журнала редакция просит авторов при направлении статей руководствоваться изложенными ниже правилами:</w:t>
      </w:r>
    </w:p>
    <w:p w14:paraId="2A6880A3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1. Текст статьи, включая аннотации, должен быть тщательно выверен и отредактирован. Особое внимание следует обратить на ясность и лаконичность стиля, точность и последовательность в изложении материала. Название статьи должно быть кратким и отражать содержание работы.</w:t>
      </w:r>
    </w:p>
    <w:p w14:paraId="061BA3FE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Общий объем рукописи, включая литературу, таблицы и рисунки, не должен превышать 7-15 страниц, набранных шрифтом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Times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New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Roman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14, через 1 интервал, в одном экземпляре; поля: верхнее и нижнее – 20 мм, левое – 30 мм, правое – 15 мм.</w:t>
      </w:r>
    </w:p>
    <w:p w14:paraId="6D6EF248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b/>
          <w:bCs/>
          <w:color w:val="777777"/>
          <w:sz w:val="27"/>
          <w:szCs w:val="27"/>
        </w:rPr>
        <w:t>2. Структура рукописи:</w:t>
      </w:r>
    </w:p>
    <w:p w14:paraId="54519809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1) Индекс УДК (Универсальной десятичной классификации) печатается в левом верхнем углу;</w:t>
      </w:r>
    </w:p>
    <w:p w14:paraId="5942700D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lastRenderedPageBreak/>
        <w:t xml:space="preserve">Следующие структурные элементы должны быть представлены по очереди на русском,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кыргызском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и английском языках:</w:t>
      </w:r>
    </w:p>
    <w:p w14:paraId="64D19A4E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2) Название статьи (название статьи нужно печатать заглавными буквами, шрифт не жирный, выравнивание по центру),</w:t>
      </w:r>
    </w:p>
    <w:p w14:paraId="58199EA4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3) Фамилии, инициалы авторов в именительном падеже (фамилию следует указывать после инициалов имени и отчества: П. С. Иванов, С. И. Петров, И. П. Сидоров; шрифт не жирный,  выравнивание справа);</w:t>
      </w:r>
    </w:p>
    <w:p w14:paraId="69E7E087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4) Указание места работы и занимаемой должности в именительном падеже  (необходимо привести официальное ПОЛНОЕ название учреждения (без сокращений). После названия учреждения через запятую необходимо написать занимаемую должность, название города, страны. Если в написании рукописи принимали участие авторы из разных учреждений, информацию о каждом из них следует представлять в том же порядке по очереди (шрифт не жирный, выравнивание справа).</w:t>
      </w:r>
    </w:p>
    <w:p w14:paraId="7F9D8AE8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5) Аннотация. Пишется шрифтом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Times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New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Roman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12, через 1 интервал, слово «Аннотация» – полужирным шрифтом, текст аннотации – нежирным шрифтом.</w:t>
      </w:r>
    </w:p>
    <w:p w14:paraId="59E6EDC0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Аннотация является независимым от статьи источником  информации, которая представляет собой краткую характеристику   работы, включающую в себя такие компоненты как актуальность, постановка проблемы, пути ее решения, результаты и выводы. В ней необходимо указывать, что нового несет в себе данная статья в сравнении с другими, родственными по тематике и целевому назначению Объем текста аннотации для русскоязычной статьи должен быть 100-250 слов. На других языках – соответственно переводу.</w:t>
      </w:r>
    </w:p>
    <w:p w14:paraId="0B3BC82D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b/>
          <w:bCs/>
          <w:color w:val="777777"/>
          <w:sz w:val="27"/>
          <w:szCs w:val="27"/>
        </w:rPr>
        <w:t>При написании аннотации необходимо обратить внимание на следующее:</w:t>
      </w:r>
    </w:p>
    <w:p w14:paraId="0F7B2FA1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не повторять текст самой статьи, сведения, содержащиеся в ее заглавии;</w:t>
      </w:r>
    </w:p>
    <w:p w14:paraId="03DEFFB2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· не приводить цифры, таблицы,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внутритекстовые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сноски, аббревиатуры, авторские сокращения, материал, который отсутствует в самой статье;</w:t>
      </w:r>
    </w:p>
    <w:p w14:paraId="1D03F8BA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описывать метод или методологию проведения работы в том случае, если они отличаются новизной или представляют интерес с точки зрения данной работы;</w:t>
      </w:r>
    </w:p>
    <w:p w14:paraId="3C69BFBA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lastRenderedPageBreak/>
        <w:t>· излагать результаты работы предельно точно и информативно; кратко приводить основные теоретические и экспериментальные результаты, фактические данные, обнаруженные взаимосвязи и закономерности;</w:t>
      </w:r>
    </w:p>
    <w:p w14:paraId="3FED1956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употреблять синтаксические конструкции, свойственные языку научных и технических документов, избегать сложных грамматических конструкций, вводных слов, общих формулировок.</w:t>
      </w:r>
    </w:p>
    <w:p w14:paraId="05F1DF1F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Style w:val="a4"/>
          <w:rFonts w:ascii="Arial" w:hAnsi="Arial" w:cs="Arial"/>
          <w:color w:val="777777"/>
          <w:sz w:val="27"/>
          <w:szCs w:val="27"/>
        </w:rPr>
        <w:t>Аннотация (реферат) к статье должна быть:</w:t>
      </w:r>
    </w:p>
    <w:p w14:paraId="2B096ACD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информативной (не содержать общих слов).</w:t>
      </w:r>
    </w:p>
    <w:p w14:paraId="2352F957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оригинальной;</w:t>
      </w:r>
    </w:p>
    <w:p w14:paraId="4134414B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содержательной (отражать основное содержание статьи и результаты исследований);</w:t>
      </w:r>
    </w:p>
    <w:p w14:paraId="0CB9A70D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структурированной (следовать логике описания результатов в статье);</w:t>
      </w:r>
    </w:p>
    <w:p w14:paraId="494A582B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Style w:val="a4"/>
          <w:rFonts w:ascii="Arial" w:hAnsi="Arial" w:cs="Arial"/>
          <w:color w:val="777777"/>
          <w:sz w:val="27"/>
          <w:szCs w:val="27"/>
        </w:rPr>
        <w:t>Аннотация (реферат) включает следующие аспекты содержания статьи:</w:t>
      </w:r>
    </w:p>
    <w:p w14:paraId="4425372C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актуальность;</w:t>
      </w:r>
    </w:p>
    <w:p w14:paraId="62C26CBF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цель работы;</w:t>
      </w:r>
    </w:p>
    <w:p w14:paraId="57D2CC74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методы исследования;</w:t>
      </w:r>
    </w:p>
    <w:p w14:paraId="4CFA5BA7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результаты работы;</w:t>
      </w:r>
    </w:p>
    <w:p w14:paraId="3B9AE385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область применения результатов;</w:t>
      </w:r>
    </w:p>
    <w:p w14:paraId="40173497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· выводы.</w:t>
      </w:r>
    </w:p>
    <w:p w14:paraId="55496570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            6) Ключевые слова должны быть представлены в количестве от 7 до 10 слов или словосочетаний. Слова «Ключевые слова» пишутся полужирным шрифтом, сами ключевые слова – нежирным шрифтом. Размещаются непосредственно после текста аннотации на соответствующем языке.</w:t>
      </w:r>
    </w:p>
    <w:p w14:paraId="7BC558B1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            3. Текст статьи представляется на одном из трех языков: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кыргызском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, русском или английском с обязательным переводом на английский  язык статей на русском и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кыргызском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языках.</w:t>
      </w:r>
    </w:p>
    <w:p w14:paraId="5CE88ACA" w14:textId="77777777" w:rsidR="00D61BF9" w:rsidRDefault="00D61BF9">
      <w:pPr>
        <w:pStyle w:val="has-text-align-center"/>
        <w:shd w:val="clear" w:color="auto" w:fill="FFFFFF"/>
        <w:spacing w:before="0" w:beforeAutospacing="0" w:after="312" w:afterAutospacing="0"/>
        <w:jc w:val="center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Style w:val="a4"/>
          <w:rFonts w:ascii="Arial" w:hAnsi="Arial" w:cs="Arial"/>
          <w:color w:val="777777"/>
          <w:sz w:val="27"/>
          <w:szCs w:val="27"/>
        </w:rPr>
        <w:t>Текст статьи должен включать следующие структурные элементы</w:t>
      </w:r>
    </w:p>
    <w:p w14:paraId="60215766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lastRenderedPageBreak/>
        <w:t> – введение: постановка научной проблемы, анализ научной литературы, формулировка цели и/или задач исследования, информация об применённых методах;</w:t>
      </w:r>
    </w:p>
    <w:p w14:paraId="7A22D318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– результаты оригинального авторского исследования: качественный или количественный анализ первичных эмпирических, и обработка вторичных данных, историческое исследование, анализ эволюции научных взглядов по выбранной теме и т. п.);</w:t>
      </w:r>
    </w:p>
    <w:p w14:paraId="25094744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– заключение: оригинальные авторские выводы, соответствующие целям и задачам исследования; информация о решении научной проблемы, возможном применении результатов исследования и т. п.</w:t>
      </w:r>
    </w:p>
    <w:p w14:paraId="6FFFC5CE" w14:textId="77777777" w:rsidR="00D61BF9" w:rsidRDefault="00D61BF9">
      <w:pPr>
        <w:shd w:val="clear" w:color="auto" w:fill="FFFFFF"/>
        <w:jc w:val="center"/>
        <w:divId w:val="429351826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Style w:val="a4"/>
          <w:rFonts w:ascii="Arial" w:eastAsia="Times New Roman" w:hAnsi="Arial" w:cs="Arial"/>
          <w:color w:val="777777"/>
          <w:sz w:val="27"/>
          <w:szCs w:val="27"/>
        </w:rPr>
        <w:t>Авторам рекомендуется использование структуры IMRAD.</w:t>
      </w:r>
    </w:p>
    <w:p w14:paraId="42546254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4. Статья должна содержать библиографические ссылки.</w:t>
      </w:r>
    </w:p>
    <w:p w14:paraId="3A4CF8F9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Библиографические ссылки приводятся в квадратных скобках, где делается ссылка на порядковый номер использованной работы в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пристатейном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списке литературы и страницу – [18, с. 65]. Если ссылка включает несколько использованных работ, то внутри квадратных скобок они разделяются точкой с запятой: [4, с.15; 5, с.123].</w:t>
      </w:r>
    </w:p>
    <w:p w14:paraId="35F834BC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В статье должно быть не менее 10-20 ссылок.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Самоцитирование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допускается в объеме не более 15% от общего списка использованных источников.</w:t>
      </w:r>
    </w:p>
    <w:p w14:paraId="0E0BE6B1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Статьи, имеющие ссылки на предыдущие номера  журнала «Научные исследования в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Кыргызской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Республике», рассматриваются в приоритетном порядке.</w:t>
      </w:r>
    </w:p>
    <w:p w14:paraId="799DD855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5. Рисунки и графики должны располагаться по тексту после ссылки на него.</w:t>
      </w:r>
    </w:p>
    <w:p w14:paraId="37813262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Графический материал (фото, рисунки, графики, схемы, в том числе сканированные) представляется в формате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jpg</w:t>
      </w:r>
      <w:proofErr w:type="spellEnd"/>
      <w:r>
        <w:rPr>
          <w:rFonts w:ascii="Arial" w:hAnsi="Arial" w:cs="Arial"/>
          <w:color w:val="777777"/>
          <w:sz w:val="27"/>
          <w:szCs w:val="27"/>
        </w:rPr>
        <w:t>.</w:t>
      </w:r>
    </w:p>
    <w:p w14:paraId="7276BD07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6. Сокращенные и условные обозначения допускается лишь принятые в международной системе единиц сокращения мер, физических, химических и математических величин, терминов и т.п.</w:t>
      </w:r>
    </w:p>
    <w:p w14:paraId="503EB72B" w14:textId="77777777" w:rsidR="00D61BF9" w:rsidRDefault="00D61BF9">
      <w:pPr>
        <w:pStyle w:val="has-text-align-center"/>
        <w:shd w:val="clear" w:color="auto" w:fill="FFFFFF"/>
        <w:spacing w:before="0" w:beforeAutospacing="0" w:after="312" w:afterAutospacing="0"/>
        <w:jc w:val="center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Style w:val="a4"/>
          <w:rFonts w:ascii="Arial" w:hAnsi="Arial" w:cs="Arial"/>
          <w:color w:val="777777"/>
          <w:sz w:val="27"/>
          <w:szCs w:val="27"/>
        </w:rPr>
        <w:t>Все формулы должны быть набраны в редакторе формул.</w:t>
      </w:r>
    </w:p>
    <w:p w14:paraId="1105CFC1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7. Список использованных источников представляет собой работы, использованные автором статьи. Работы в списке использованных источников должны быть размещены в последовательности ссылок в </w:t>
      </w:r>
      <w:r>
        <w:rPr>
          <w:rFonts w:ascii="Arial" w:hAnsi="Arial" w:cs="Arial"/>
          <w:color w:val="777777"/>
          <w:sz w:val="27"/>
          <w:szCs w:val="27"/>
        </w:rPr>
        <w:lastRenderedPageBreak/>
        <w:t>статье (первая по счёту ссылка (квадратные скобки) в статье будет идти, например, под номером 1).</w:t>
      </w:r>
    </w:p>
    <w:p w14:paraId="26FFDE81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Оформление библиографического описания использованных источников должно соответствовать ГОСТ 7.1-2003. Ниже приводятся примеры библиографического описания использованных источников.</w:t>
      </w:r>
    </w:p>
    <w:p w14:paraId="4107C7F7" w14:textId="77777777" w:rsidR="00D61BF9" w:rsidRDefault="00D61BF9">
      <w:pPr>
        <w:shd w:val="clear" w:color="auto" w:fill="FFFFFF"/>
        <w:divId w:val="429351826"/>
        <w:rPr>
          <w:rFonts w:ascii="Arial" w:eastAsia="Times New Roman" w:hAnsi="Arial" w:cs="Arial"/>
          <w:color w:val="777777"/>
          <w:sz w:val="27"/>
          <w:szCs w:val="27"/>
        </w:rPr>
      </w:pPr>
    </w:p>
    <w:tbl>
      <w:tblPr>
        <w:tblW w:w="12000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AEB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5213"/>
        <w:gridCol w:w="4424"/>
      </w:tblGrid>
      <w:tr w:rsidR="00D61BF9" w14:paraId="47FE5CEC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628F250C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Характеристика источника (литературы)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288D20CA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Пример оформления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492FC0A5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Общие требования к библиографическому описанию</w:t>
            </w:r>
          </w:p>
        </w:tc>
      </w:tr>
      <w:tr w:rsidR="00D61BF9" w14:paraId="0052D000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043FA18E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18257392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6FCF573E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D61BF9" w14:paraId="45EF65F8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040247D3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668A297E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Описание книг под фамилией автора (авторов)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5D66A5B1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4B84E9D2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0C27BFCD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Один автор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6BF5D3BE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Семенов,  В.  В</w:t>
            </w:r>
            <w:r>
              <w:rPr>
                <w:rStyle w:val="a4"/>
                <w:rFonts w:ascii="Arial" w:eastAsia="Times New Roman" w:hAnsi="Arial" w:cs="Arial"/>
                <w:color w:val="666666"/>
                <w:sz w:val="16"/>
                <w:szCs w:val="16"/>
              </w:rPr>
              <w:t>.  </w:t>
            </w: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Философия:</w:t>
            </w:r>
            <w:r>
              <w:rPr>
                <w:rStyle w:val="a4"/>
                <w:rFonts w:ascii="Arial" w:eastAsia="Times New Roman" w:hAnsi="Arial" w:cs="Arial"/>
                <w:color w:val="666666"/>
                <w:sz w:val="16"/>
                <w:szCs w:val="16"/>
              </w:rPr>
              <w:t>   </w:t>
            </w: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итог тысячелетий. Философская психология [Текст] / В. В. Семенов. – М.: Наука, 2000. – 64 с.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50C909AC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69AA6699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450AEB11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Два автора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4EE8B37B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Душина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, И.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В.Народы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мира[Текст]: кн. для чтения по географии  / И. В.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Душина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, Т. Л.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Смоктунович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– М.: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Баллас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 2004. – 271 с.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503A5A63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В  заголовке  описания книги до трех авторов приводят фамилию одного автора. Имена всех 2-3-х авторов приводят после косой черты, ставят инициалы перед фамилией.</w:t>
            </w:r>
          </w:p>
        </w:tc>
      </w:tr>
      <w:tr w:rsidR="00D61BF9" w14:paraId="0ABDE17F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492EE53B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Три автора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271CE69F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Агафонова, Н.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Н.Гражданское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право [Текст]: учеб. пособие для вузов / Н.Н.  Агафонова,  Т.  В.  Богачева,  Л.  И. Глушкова. – М.: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Юристъ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 2002. – 542 с.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1AC8219A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2E8F8A0B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318082BB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Четыре и более авторов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2A23FF40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Многокоммуникационные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сети: архитектура, технология, стандартизация [Текст] / [Л. Л.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Блахов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, Г. Т. Иванов, Г. Б.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Семѐнов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идр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.]. – М.: Радио и связь, 2004. – 207 с.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42040062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Если авторов четыре, запись составляют  под заглавием. После косой черты приводят фамилии всех четырех авторов. Если авторов более  четырех,  запись  составляют под  заглавием,  а  за  косой  чертой указывают фамилии трех авторов с добавлением слов «и др.».</w:t>
            </w:r>
          </w:p>
        </w:tc>
      </w:tr>
      <w:tr w:rsidR="00D61BF9" w14:paraId="1776B5E8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53AF84B0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Коллективный труд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0F8232BA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Государственный Эрмитаж (Санкт-Петербург).   Отчетная   археологи-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сессия (2002). Отчетная археологическая сессия за 2002 год [Текст]: тез.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докл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 / Гос. Эрмитаж.   –   СПб.:   Изд-во   Гос. Эрмитажа, 2001. – 62 с.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10E0B46F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0C77BAE0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402D45DF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Многотомное издание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23DE4585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Гиппиус, 3. Н. Сочинения[Текст]:в 2-х  т.  /  З.  Н.  Гиппиус;  [вступ.  ст.,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lastRenderedPageBreak/>
              <w:t>подгот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   текста   и  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коммент.Т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   Г. Юрченко]. – М.: Лаком-книга, 2001. – Т. 1: Романы. – 367 с.; Т. 2: Романы. – 415 с.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211DBA10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lastRenderedPageBreak/>
              <w:t> </w:t>
            </w:r>
          </w:p>
        </w:tc>
      </w:tr>
      <w:tr w:rsidR="00D61BF9" w14:paraId="54E0E8DD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6848ECA7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Стандарт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50ABB53C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ГОСТ  7.1-2003.</w:t>
            </w:r>
            <w:r>
              <w:rPr>
                <w:rStyle w:val="a4"/>
                <w:rFonts w:ascii="Arial" w:eastAsia="Times New Roman" w:hAnsi="Arial" w:cs="Arial"/>
                <w:color w:val="666666"/>
                <w:sz w:val="16"/>
                <w:szCs w:val="16"/>
              </w:rPr>
              <w:t>  </w:t>
            </w: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Библиографическая запись. Библиографическое описание. Общие требования и правила составления [Текст]. –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Введ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 2004-01-07.  –  М.:  ИПК  Изд-во  стандартов, 2004. – 51с.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66548E38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0C08A3EA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53523D0D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Диссертация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14FD029A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Абдынасыров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,  У.  Т.  Стратегия  и перспективы  развития  рынка  ценных бумаг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Кыргызской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Республики [Текст]:  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дис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   …   д-ра  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экон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   наук: 08.00.05  /  У.  Т. 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Абдынасыров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.– Бишкек, 2009. – 280 с.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4959907B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3BF69E2F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42850AB2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Автореферат диссертации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04F81B78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Супатаева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, Ж.Э. Уголовная ответственность за нарушения порядка законного оборота наркотических средств, психотропных веществ и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прекурсоров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[Текст]: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автореф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дис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… канд.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юрид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наук: 12.00.08 / Ж. Э.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Супатаева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 – Бишкек, 2010. – 25 с.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3D42850A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77E511E9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7F1F4AD6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Составные части документов Статья из……книги   или другого разового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изания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 …сериального издания.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6E86E4CE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Двинянинова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, Г.С. Комплимент: Коммуникативный статус или стратегия в дискурсе [Текст] / Г.С.  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Двинянинова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// Социальная власть языка: сб. науч. тр. – Воронеж, 2001. – С. 101-106. Казаков, Н. А. Запоздалое признание [Текст]: повесть / Н. А. Казаков // На боевом посту. – 2000. – № 9. – С. 64- 76; №10. – С. 58-71.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4804B6C9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6296F5F4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29ED1022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Архивные материалы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06909ED4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Циркуляр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облполитпросвета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Киргизской АССР всем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окрполитпросветам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по организации работы передвижных библиотек [Текст]. Центр. гос. арх.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КиргССР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 ф. 688, оп. I, д. II, л. 269.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7529E083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723CD667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54666EED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Нормативно-правовые акты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78BA5967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О дне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Курман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айт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[Текст]: постановление Правительства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Кырг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Респ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  от  24  янв.  2004  г.  №  32  // Норматив. акты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Кырг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Респ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 – 2004. –№4.–С.14.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2004C66C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3200B143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22FA1DF6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Патенты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705C399C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Пат. 2187888 Российская Федерация, МПК7 H 04 В 1/38, Н 04 J 13/00. Приемопередающее устройство [Текст] / В. И. Чугаева; Воронеж. НИИ связи. – № 2000131736/09 ;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заявл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18.12.00 ;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опубл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20.08.02,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Бюл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 № 23 (II ч.). – 3 с. : ил.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1D1B0E4F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  <w:tr w:rsidR="00D61BF9" w14:paraId="6EA8FE91" w14:textId="77777777">
        <w:trPr>
          <w:divId w:val="42935182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nil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14:paraId="5F9D1288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Электронные ресурсы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nil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27DCD847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Художественная энциклопедия зарубежного классического искусства [Электронный ресурс]. – М. : Большая Рос.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энцикл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., 1996. – Режим доступа: 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fldChar w:fldCharType="begin"/>
            </w: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instrText xml:space="preserve"> HYPERLINK "http://www/" </w:instrText>
            </w: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fldChar w:fldCharType="separate"/>
            </w:r>
            <w:r>
              <w:rPr>
                <w:rStyle w:val="a3"/>
                <w:rFonts w:ascii="Arial" w:eastAsia="Times New Roman" w:hAnsi="Arial" w:cs="Arial"/>
                <w:b/>
                <w:bCs/>
                <w:color w:val="999999"/>
                <w:sz w:val="16"/>
                <w:szCs w:val="16"/>
                <w:u w:val="none"/>
              </w:rPr>
              <w:t>www</w:t>
            </w:r>
            <w:proofErr w:type="spellEnd"/>
            <w:r>
              <w:rPr>
                <w:rStyle w:val="a3"/>
                <w:rFonts w:ascii="Arial" w:eastAsia="Times New Roman" w:hAnsi="Arial" w:cs="Arial"/>
                <w:b/>
                <w:bCs/>
                <w:color w:val="999999"/>
                <w:sz w:val="16"/>
                <w:szCs w:val="16"/>
                <w:u w:val="none"/>
              </w:rPr>
              <w:t>. </w:t>
            </w: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…. –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Загл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 с экрана.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nil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0" w:type="dxa"/>
            </w:tcMar>
            <w:vAlign w:val="center"/>
            <w:hideMark/>
          </w:tcPr>
          <w:p w14:paraId="5E61F2B5" w14:textId="77777777" w:rsidR="00D61BF9" w:rsidRDefault="00D61BF9">
            <w:pPr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 </w:t>
            </w:r>
          </w:p>
        </w:tc>
      </w:tr>
    </w:tbl>
    <w:p w14:paraId="643AE155" w14:textId="77777777" w:rsidR="00D61BF9" w:rsidRDefault="00D61BF9">
      <w:pPr>
        <w:shd w:val="clear" w:color="auto" w:fill="FFFFFF"/>
        <w:divId w:val="429351826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br/>
      </w:r>
    </w:p>
    <w:p w14:paraId="41E36002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lastRenderedPageBreak/>
        <w:t>8.    На отдельной странице следует привести Ф.И.О. полностью, ученую степень (при наличии), ученое звание (при наличии), должность, полный почтовый адрес, номера телефонов, телефакса, E-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mail</w:t>
      </w:r>
      <w:proofErr w:type="spellEnd"/>
      <w:r>
        <w:rPr>
          <w:rFonts w:ascii="Arial" w:hAnsi="Arial" w:cs="Arial"/>
          <w:color w:val="777777"/>
          <w:sz w:val="27"/>
          <w:szCs w:val="27"/>
        </w:rPr>
        <w:t>, а также указать, отрасль науки и специальность, по которой выполнена статья.</w:t>
      </w:r>
    </w:p>
    <w:p w14:paraId="4AE6F64E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 xml:space="preserve">9. Статьи направляются  в редакцию через электронную почту vakkr13@yandex.ru в архивированном виде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rar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или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zip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 с вложением отсканированной копии квитанции об оплате. Возможные форматы файла: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doc</w:t>
      </w:r>
      <w:proofErr w:type="spellEnd"/>
      <w:r>
        <w:rPr>
          <w:rFonts w:ascii="Arial" w:hAnsi="Arial" w:cs="Arial"/>
          <w:color w:val="777777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rtf</w:t>
      </w:r>
      <w:proofErr w:type="spellEnd"/>
      <w:r>
        <w:rPr>
          <w:rFonts w:ascii="Arial" w:hAnsi="Arial" w:cs="Arial"/>
          <w:color w:val="777777"/>
          <w:sz w:val="27"/>
          <w:szCs w:val="27"/>
        </w:rPr>
        <w:t>.</w:t>
      </w:r>
    </w:p>
    <w:p w14:paraId="1983F66A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Style w:val="a4"/>
          <w:rFonts w:ascii="Arial" w:hAnsi="Arial" w:cs="Arial"/>
          <w:color w:val="777777"/>
          <w:sz w:val="27"/>
          <w:szCs w:val="27"/>
        </w:rPr>
        <w:t>Справки по телефонам:</w:t>
      </w:r>
    </w:p>
    <w:p w14:paraId="7690FF72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Style w:val="a4"/>
          <w:rFonts w:ascii="Arial" w:hAnsi="Arial" w:cs="Arial"/>
          <w:color w:val="777777"/>
          <w:sz w:val="27"/>
          <w:szCs w:val="27"/>
        </w:rPr>
        <w:t>+996(312) 64-11-66   +996(312) 64-11-18</w:t>
      </w:r>
    </w:p>
    <w:p w14:paraId="33A4A86F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   </w:t>
      </w:r>
    </w:p>
    <w:p w14:paraId="4EDE7314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10. Рукописи проходят проверку на соответствие вышеуказанным требованиям по оформлению статьи. В случае несоблюдения каких-либо требований редакция отказывает в принятии к рассмотрению таких статей.</w:t>
      </w:r>
    </w:p>
    <w:p w14:paraId="46F1AE6A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Все представленные статьи проходят проверку по компьютерной программе «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Антиплагиат</w:t>
      </w:r>
      <w:proofErr w:type="spellEnd"/>
      <w:r>
        <w:rPr>
          <w:rFonts w:ascii="Arial" w:hAnsi="Arial" w:cs="Arial"/>
          <w:color w:val="777777"/>
          <w:sz w:val="27"/>
          <w:szCs w:val="27"/>
        </w:rPr>
        <w:t>»,  оригинальность рукописи должна составлять не менее  70%.</w:t>
      </w:r>
    </w:p>
    <w:p w14:paraId="40BD04C8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При допустимом проценте оригинальности по результатам проверки на «</w:t>
      </w:r>
      <w:proofErr w:type="spellStart"/>
      <w:r>
        <w:rPr>
          <w:rFonts w:ascii="Arial" w:hAnsi="Arial" w:cs="Arial"/>
          <w:color w:val="777777"/>
          <w:sz w:val="27"/>
          <w:szCs w:val="27"/>
        </w:rPr>
        <w:t>Антиплагиат</w:t>
      </w:r>
      <w:proofErr w:type="spellEnd"/>
      <w:r>
        <w:rPr>
          <w:rFonts w:ascii="Arial" w:hAnsi="Arial" w:cs="Arial"/>
          <w:color w:val="777777"/>
          <w:sz w:val="27"/>
          <w:szCs w:val="27"/>
        </w:rPr>
        <w:t>» рукопись передается на рецензирование.</w:t>
      </w:r>
    </w:p>
    <w:p w14:paraId="2E6D3231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Редакционная коллегия принимает решение, основываясь на результатах рецензирования.       </w:t>
      </w:r>
    </w:p>
    <w:p w14:paraId="2E2B4ADB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11. Статья может быть отклонена ввиду недостаточного уровня ее научного содержания, а также в случае неправильного оформления.</w:t>
      </w:r>
    </w:p>
    <w:p w14:paraId="4DE39138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Редакционная коллегия не информирует авторов о технических изменениях в рукописи, не имеющих существенного значения для ее содержания.</w:t>
      </w:r>
    </w:p>
    <w:p w14:paraId="2E46ED22" w14:textId="77777777" w:rsidR="00D61BF9" w:rsidRDefault="00D61BF9">
      <w:pPr>
        <w:pStyle w:val="a5"/>
        <w:shd w:val="clear" w:color="auto" w:fill="FFFFFF"/>
        <w:spacing w:before="0" w:beforeAutospacing="0" w:after="312" w:afterAutospacing="0"/>
        <w:ind w:firstLine="375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В случае отклонения статьи редакция информирует об этом автора и направляет авторам представленных материалов копии рецензий или мотивированный отказ.</w:t>
      </w:r>
    </w:p>
    <w:p w14:paraId="1D5CA8F0" w14:textId="0AE55C54" w:rsidR="00D61BF9" w:rsidRPr="00AC54DC" w:rsidRDefault="00D61BF9" w:rsidP="00AC54DC">
      <w:pPr>
        <w:pStyle w:val="a5"/>
        <w:shd w:val="clear" w:color="auto" w:fill="FFFFFF"/>
        <w:spacing w:before="0" w:beforeAutospacing="0" w:after="312" w:afterAutospacing="0"/>
        <w:divId w:val="429351826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12. Авторам присланные материалы не возвращаются.</w:t>
      </w:r>
    </w:p>
    <w:p w14:paraId="06C9B0DE" w14:textId="77777777" w:rsidR="00D61BF9" w:rsidRPr="00D61BF9" w:rsidRDefault="00D61BF9" w:rsidP="00D61BF9">
      <w:pPr>
        <w:shd w:val="clear" w:color="auto" w:fill="FFFFFF"/>
        <w:divId w:val="429351826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Style w:val="a4"/>
          <w:rFonts w:ascii="Arial" w:eastAsia="Times New Roman" w:hAnsi="Arial" w:cs="Arial"/>
          <w:color w:val="777777"/>
          <w:sz w:val="27"/>
          <w:szCs w:val="27"/>
        </w:rPr>
        <w:t> </w:t>
      </w:r>
      <w:r>
        <w:rPr>
          <w:rFonts w:ascii="Arial" w:eastAsia="Times New Roman" w:hAnsi="Arial" w:cs="Arial"/>
          <w:noProof/>
          <w:color w:val="777777"/>
          <w:sz w:val="27"/>
          <w:szCs w:val="27"/>
        </w:rPr>
        <mc:AlternateContent>
          <mc:Choice Requires="wps">
            <w:drawing>
              <wp:inline distT="0" distB="0" distL="0" distR="0" wp14:anchorId="06A36F7F" wp14:editId="46F8FE81">
                <wp:extent cx="304800" cy="304800"/>
                <wp:effectExtent l="0" t="0" r="0" b="0"/>
                <wp:docPr id="11" name="Прямоугольник 11" descr="http://journal.vak.kg/wp-content/uploads/2020/06/OBRAZEC-ZHilkina-N.P.-0001-scaled.jpg%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257F9" id="Прямоугольник 11" o:spid="_x0000_s1026" alt="http://journal.vak.kg/wp-content/uploads/2020/06/OBRAZEC-ZHilkina-N.P.-0001-scaled.jpg%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njMzM0AwAAOgYAAA4AAABkcnMvZTJvRG9jLnhtbKxUzW7cNhC+F+g7EAR61Oon2vVKsBzY&#13;&#10;+9MGcBIjaS65cSVqxZgiWZK7shMUKJBrgD5CHyKXIG3zDPIbZUjt2ms3p6A6EBySmvm+mW/m+PFV&#13;&#10;y9GWasOkKHA8ijCiopQVE+sCv/p1GUwxMpaIinApaIGvqcGPT3784bhTOU1kI3lFNQInwuSdKnBj&#13;&#10;rcrD0JQNbYkZSUUFXNZSt8SCqddhpUkH3lseJlE0CTupK6VlSY2B0/lwiU+8/7qmpX1e14ZaxAsM&#13;&#10;2KxftV9Xfg1Pjkm+1kQ1rNzhIN8BoyVMQNRbV3NiCdpo9h9XLSu1NLK2o1K2oaxrVlJPAujE0QM6&#13;&#10;LxuiqCcD2THqNk/m/3NbPtteaMQqKF6MkSAtFKn/6+aPmz/7f/ovN+/7j/2X/u+bD/2//af+M3KP&#13;&#10;KmpKSOGuVG/kRgvCR1tyObpch50KSiksFTbcKC5JZYBYEoVQqudnL05fL2bB618Yv2SCBM9GF6Mg&#13;&#10;iqI4MCXhtBq9UeufkgQjKEqnTA7YXqoL7dJq1LksLw0SctYQsaanRkFtATRg3h9pLbuGQkR/DD4A&#13;&#10;zIETZxhwh1bdU1kBTbKx0tfsqtatCwLVQFdeFdd32qBXFpVw+ihKpxFIqIS7/d7FIPn+d6WN/ZnK&#13;&#10;FrlNgTUA9O7J9txYxwne7t+4cEIuGefuguRc3D+Bp8MRhIe/3aUD4hX1LouyxXQxTYM0mSyCNJrP&#13;&#10;g9PlLA0my/hoPH80n83m8e8udJzmDasqKnygocvg8LZ2+zb7pih3jTbo8lbfRnJWOXcOktHr1Yxr&#13;&#10;tCXQXkv/+eIB+oN34X0cPg9A5gGnOEmjsyQLlpPpUZAu03GQHUXTIIqzs2wSpVk6X97ndM4E3Xfs&#13;&#10;93NCXYGzcTL2lToA/YAcqBS+b5AjecssjDDO2gKDQPavSO6kuBDVUF9LGN8ZB+lwFO7SAVnbV9sr&#13;&#10;14l1aISVrK5BuFqCrAAEzFvYNFK/xaiD0VVg89uGaIoRfyJA/Vmcpm7YeSMdHyVg6MOb1eENESW4&#13;&#10;KrDFaNjO7DAgN0qzdQORYp8cIU+hYWo2SNl10wALCDgD5pOnspulbgAe2v7V3cg/+QoAAP//AwBQ&#13;&#10;SwMEFAAGAAgAAAAhAAEAvrnaAAAACQEAAA8AAABkcnMvZG93bnJldi54bWxMT9FKw0AQfBf8h2MF&#13;&#10;X8ReFJGS5lKkIhYRiqn2eZtbk2BuL81dk/j3riLoyyzDMLMz2XJyrRqoD41nA1ezBBRx6W3DlYHX&#13;&#10;7cPlHFSIyBZbz2TgkwIs89OTDFPrR36hoYiVkhAOKRqoY+xSrUNZk8Mw8x2xaO++dxiF9pW2PY4S&#13;&#10;7lp9nSS32mHD8qHGjlY1lR/F0RkYy82w2z4/6s3Fbu35sD6sircnY87PpvuFwN0CVKQp/jnge4P0&#13;&#10;h1yK7f2RbVCtAVkTf1C0m7mw/e/Veab/L8i/AAAA//8DAFBLAQItABQABgAIAAAAIQBaIpOj/wAA&#13;&#10;AOUBAAATAAAAAAAAAAAAAAAAAAAAAABbQ29udGVudF9UeXBlc10ueG1sUEsBAi0AFAAGAAgAAAAh&#13;&#10;AKdKzzjXAAAAlgEAAAsAAAAAAAAAAAAAAAAAMAEAAF9yZWxzLy5yZWxzUEsBAi0AFAAGAAgAAAAh&#13;&#10;ANnjMzM0AwAAOgYAAA4AAAAAAAAAAAAAAAAAMAIAAGRycy9lMm9Eb2MueG1sUEsBAi0AFAAGAAgA&#13;&#10;AAAhAAEAvrnaAAAACQEAAA8AAAAAAAAAAAAAAAAAkAUAAGRycy9kb3ducmV2LnhtbFBLBQYAAAAA&#13;&#10;BAAEAPMAAACXBgAAAAA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777777"/>
          <w:sz w:val="27"/>
          <w:szCs w:val="27"/>
        </w:rPr>
        <mc:AlternateContent>
          <mc:Choice Requires="wps">
            <w:drawing>
              <wp:inline distT="0" distB="0" distL="0" distR="0" wp14:anchorId="59486A83" wp14:editId="4A2B00A7">
                <wp:extent cx="304800" cy="304800"/>
                <wp:effectExtent l="0" t="0" r="0" b="0"/>
                <wp:docPr id="10" name="Прямоугольник 10" descr="http://journal.vak.kg/wp-content/uploads/2020/06/OBRAZEC-ZHilkina-N.P.-0002-scaled.jpg%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D172E" id="Прямоугольник 10" o:spid="_x0000_s1026" alt="http://journal.vak.kg/wp-content/uploads/2020/06/OBRAZEC-ZHilkina-N.P.-0002-scaled.jpg%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kCr00AwAAOgYAAA4AAABkcnMvZTJvRG9jLnhtbKxUzW7cNhC+F+g7EAR61Oon2vVKsBzY&#13;&#10;+9MGcBIjaS65cSVqxZgiWZK7shMUKJBrgD5CHyKXIG3zDPIbZUjt2ms3p6A6EPwZzXzfzDdz/Piq&#13;&#10;5WhLtWFSFDgeRRhRUcqKiXWBX/26DKYYGUtERbgUtMDX1ODHJz/+cNypnCaykbyiGoETYfJOFbix&#13;&#10;VuVhaMqGtsSMpKICHmupW2LhqNdhpUkH3lseJlE0CTupK6VlSY2B2/nwiE+8/7qmpX1e14ZaxAsM&#13;&#10;2KxftV9Xfg1Pjkm+1kQ1rNzhIN8BoyVMQNRbV3NiCdpo9h9XLSu1NLK2o1K2oaxrVlJPAujE0QM6&#13;&#10;LxuiqCcD2THqNk/m/3NbPtteaMQqKB7kR5AWitT/dfPHzZ/9P/2Xm/f9x/5L//fNh/7f/lP/GTmj&#13;&#10;ipoSUrgr1Ru50YLw0ZZcji7XYaeCUgpLhQ03iktSGSCWRCGU6vnZi9PXi1nw+hfGL5kgwbPRxSiI&#13;&#10;oigJTEk4rUZv1PqnJMEIitIpkwO2l+pCu7QadS7LS4OEnDVErOmpUVBbAA2Y91day66hENFfgw8A&#13;&#10;c+DEHQy4Q6vuqayAJtlY6Wt2VevWBYFqoCuvius7bdAri0q4fRSl0wjYl/C237sYJN//rrSxP1PZ&#13;&#10;IrcpsAaA3j3ZnhvrOIHt3saFE3LJOHcPJOfi/g2YDlcQHv52jw6IV9S7LMoW08U0DdJksgjSaD4P&#13;&#10;TpezNJgs46Px/NF8NpvHv7vQcZo3rKqo8IGGLoPL29rt2+ybotw12qDLW30byVnl3DlIRq9XM67R&#13;&#10;lkB7Lf3niwfoD+zC+zh8HoDMA05xkkZnSRYsJ9OjIF2m4yA7iqZBFGdn2SRKs3S+vM/pnAm679jv&#13;&#10;54S6AmfjZOwrdQD6ATlQKXzfIEfyllkYYZy1BQaB7K1I7qS4ENVQX0sY3x0O0uEo3KUDsravtleu&#13;&#10;E+vQCCtZXYNwtQRZAQiYt7BppH6LUQejq8Dmtw3RFCP+RID6szhNwcz6Qzo+SuCgD19Why9ElOCq&#13;&#10;wBajYTuzw4DcKM3WDUSKfXKEPIWGqdkgZddNAywg4A4wnzyV3Sx1A/Dw7K3uRv7JVwAAAP//AwBQ&#13;&#10;SwMEFAAGAAgAAAAhAAEAvrnaAAAACQEAAA8AAABkcnMvZG93bnJldi54bWxMT9FKw0AQfBf8h2MF&#13;&#10;X8ReFJGS5lKkIhYRiqn2eZtbk2BuL81dk/j3riLoyyzDMLMz2XJyrRqoD41nA1ezBBRx6W3DlYHX&#13;&#10;7cPlHFSIyBZbz2TgkwIs89OTDFPrR36hoYiVkhAOKRqoY+xSrUNZk8Mw8x2xaO++dxiF9pW2PY4S&#13;&#10;7lp9nSS32mHD8qHGjlY1lR/F0RkYy82w2z4/6s3Fbu35sD6sircnY87PpvuFwN0CVKQp/jnge4P0&#13;&#10;h1yK7f2RbVCtAVkTf1C0m7mw/e/Veab/L8i/AAAA//8DAFBLAQItABQABgAIAAAAIQBaIpOj/wAA&#13;&#10;AOUBAAATAAAAAAAAAAAAAAAAAAAAAABbQ29udGVudF9UeXBlc10ueG1sUEsBAi0AFAAGAAgAAAAh&#13;&#10;AKdKzzjXAAAAlgEAAAsAAAAAAAAAAAAAAAAAMAEAAF9yZWxzLy5yZWxzUEsBAi0AFAAGAAgAAAAh&#13;&#10;AG6kCr00AwAAOgYAAA4AAAAAAAAAAAAAAAAAMAIAAGRycy9lMm9Eb2MueG1sUEsBAi0AFAAGAAgA&#13;&#10;AAAhAAEAvrnaAAAACQEAAA8AAAAAAAAAAAAAAAAAkAUAAGRycy9kb3ducmV2LnhtbFBLBQYAAAAA&#13;&#10;BAAEAPMAAACXBgAAAAA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777777"/>
          <w:sz w:val="27"/>
          <w:szCs w:val="27"/>
        </w:rPr>
        <mc:AlternateContent>
          <mc:Choice Requires="wps">
            <w:drawing>
              <wp:inline distT="0" distB="0" distL="0" distR="0" wp14:anchorId="6EC4D112" wp14:editId="0F95878B">
                <wp:extent cx="304800" cy="304800"/>
                <wp:effectExtent l="0" t="0" r="0" b="0"/>
                <wp:docPr id="9" name="Прямоугольник 9" descr="http://journal.vak.kg/wp-content/uploads/2020/06/OBRAZEC-ZHilkina-N.P.-0003-scaled.jpg%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CBED1" id="Прямоугольник 9" o:spid="_x0000_s1026" alt="http://journal.vak.kg/wp-content/uploads/2020/06/OBRAZEC-ZHilkina-N.P.-0003-scaled.jpg%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xc6600AwAAOAYAAA4AAABkcnMvZTJvRG9jLnhtbKxUzW7cNhC+F+g7EAR61OrH2vVKsBzY&#13;&#10;+5MGcBOjaS+5cSVqxZgiGZK7slMECJBrgDxCHqKXoj95BvmNOqR27bWbU1AdCM4MNTPfzDdz8uS6&#13;&#10;5WhLtWFSFDgeRRhRUcqKiXWBf/1lGUwxMpaIinApaIFvqMFPTr//7qRTOU1kI3lFNQInwuSdKnBj&#13;&#10;rcrD0JQNbYkZSUUFGGupW2JB1Ouw0qQD7y0PkyiahJ3UldKypMaAdj4Y8an3X9e0tC/q2lCLeIEh&#13;&#10;N+tP7c+VP8PTE5KvNVENK3d5kG9IoyVMQNQ7V3NiCdpo9h9XLSu1NLK2o1K2oaxrVlIPAuDE0SM4&#13;&#10;LxuiqAcD1THqrk7m/3NbPt9easSqAmcYCdJCj/rPt+9vP/V/919uP/S/91/6v24/9v/0f/R/InhT&#13;&#10;UVNCAXeNei03WhA+2pKr0dU67FRQSmGpsOFGcUkqA7CSKIRGvTj/+ezVYha8+pHxKyZI8Hx0OQqi&#13;&#10;KDoKTEk4rUav1fqHJMEIWtIpk0NmL9WldkU16kKWVwYJOWuIWNMzo6CzwDdIea/SWnYNhYheDT4g&#13;&#10;mQMnTjDgDq26n2QFKMnGSt+x61q3Lgj0Al17TtzcM4NeW1SC9ihKpxEQqATb/u5ikHz/u9LGPqWy&#13;&#10;Re5SYA0Jevdke2GswwRv929cOCGXjHNnIDkXDzXwdFBBePjbGV0ink+/ZVG2mC6maZAmk0WQRvN5&#13;&#10;cLacpcFkGR+P50fz2Wwev3Oh4zRvWFVR4QMNMwbKu97th+yrlNyN2cDKO3YbyVnl3LmUjF6vZlyj&#13;&#10;LYHhWvrPNw+yP3gXPszD1wHAPMIUJ2l0nmTBcjI9DtJlOg6y42gaRHF2nk2iNEvny4eYLpig+3n9&#13;&#10;dkyoA96Pk7Hv1EHSj8ABS+H7CjiSt8zCAuOsLTAQZP+K5I6KC1EN/bWE8Z1wUA4H4b4cULV9tz1z&#13;&#10;HVmHQVjJ6gaIqyXQCpKAbQuXRuq3GHWwuAps3myIphjxZwLYn8Vp6ladF9LxcQKCPrSsDi1ElOCq&#13;&#10;wBaj4Tqzw3rcKM3WDUSKfXGEPIOBqdlAZTdNQ1oAwAmwnTyU3SZ16+9Q9q/uF/7pvwAAAP//AwBQ&#13;&#10;SwMEFAAGAAgAAAAhAAEAvrnaAAAACQEAAA8AAABkcnMvZG93bnJldi54bWxMT9FKw0AQfBf8h2MF&#13;&#10;X8ReFJGS5lKkIhYRiqn2eZtbk2BuL81dk/j3riLoyyzDMLMz2XJyrRqoD41nA1ezBBRx6W3DlYHX&#13;&#10;7cPlHFSIyBZbz2TgkwIs89OTDFPrR36hoYiVkhAOKRqoY+xSrUNZk8Mw8x2xaO++dxiF9pW2PY4S&#13;&#10;7lp9nSS32mHD8qHGjlY1lR/F0RkYy82w2z4/6s3Fbu35sD6sircnY87PpvuFwN0CVKQp/jnge4P0&#13;&#10;h1yK7f2RbVCtAVkTf1C0m7mw/e/Veab/L8i/AAAA//8DAFBLAQItABQABgAIAAAAIQBaIpOj/wAA&#13;&#10;AOUBAAATAAAAAAAAAAAAAAAAAAAAAABbQ29udGVudF9UeXBlc10ueG1sUEsBAi0AFAAGAAgAAAAh&#13;&#10;AKdKzzjXAAAAlgEAAAsAAAAAAAAAAAAAAAAAMAEAAF9yZWxzLy5yZWxzUEsBAi0AFAAGAAgAAAAh&#13;&#10;AGxc6600AwAAOAYAAA4AAAAAAAAAAAAAAAAAMAIAAGRycy9lMm9Eb2MueG1sUEsBAi0AFAAGAAgA&#13;&#10;AAAhAAEAvrnaAAAACQEAAA8AAAAAAAAAAAAAAAAAkAUAAGRycy9kb3ducmV2LnhtbFBLBQYAAAAA&#13;&#10;BAAEAPMAAACXBgAAAAA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777777"/>
          <w:sz w:val="27"/>
          <w:szCs w:val="27"/>
        </w:rPr>
        <mc:AlternateContent>
          <mc:Choice Requires="wps">
            <w:drawing>
              <wp:inline distT="0" distB="0" distL="0" distR="0" wp14:anchorId="767D9777" wp14:editId="4B28A45E">
                <wp:extent cx="304800" cy="304800"/>
                <wp:effectExtent l="0" t="0" r="0" b="0"/>
                <wp:docPr id="8" name="Прямоугольник 8" descr="http://journal.vak.kg/wp-content/uploads/2020/06/OBRAZEC-ZHilkina-N.P.-0004-scaled.jpg%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EB56E7" id="Прямоугольник 8" o:spid="_x0000_s1026" alt="http://journal.vak.kg/wp-content/uploads/2020/06/OBRAZEC-ZHilkina-N.P.-0004-scaled.jpg%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d0M6wzAwAAOAYAAA4AAABkcnMvZTJvRG9jLnhtbKxUzW7cNhC+F+g7EAR61Oon2vVKsBzY&#13;&#10;+9MGcBIjaS65cSVqxZgiWZK7shMUKJBrgD5CHyKXIG3zDPIbZUjt2ms3p6A6EJwZama+mW/m+PFV&#13;&#10;y9GWasOkKHA8ijCiopQVE+sCv/p1GUwxMpaIinApaIGvqcGPT3784bhTOU1kI3lFNQInwuSdKnBj&#13;&#10;rcrD0JQNbYkZSUUFGGupW2JB1Ouw0qQD7y0PkyiahJ3UldKypMaAdj4Y8Yn3X9e0tM/r2lCLeIEh&#13;&#10;N+tP7c+VP8OTY5KvNVENK3d5kO9IoyVMQNRbV3NiCdpo9h9XLSu1NLK2o1K2oaxrVlIPAuDE0QM4&#13;&#10;LxuiqAcD1THqtk7m/3NbPtteaMSqAkOnBGmhR/1fN3/c/Nn/03+5ed9/7L/0f9986P/tP/WfEbyp&#13;&#10;qCmhgLtGvZEbLQgfbcnl6HIddioopbBU2HCjuCSVAVhJFEKjnp+9OH29mAWvf2H8kgkSPBtdjIIo&#13;&#10;itLAlITTavRGrX9KEoygJZ0yOWT2Ul1oV1SjzmV5aZCQs4aINT01CjoLfIOU9yqtZddQiOjV4AOS&#13;&#10;OXDiBAPu0Kp7KitASTZW+o5d1bp1QaAX6Mpz4vqOGfTKohK0j6J0GgGBSrDt7y4Gyfe/K23sz1S2&#13;&#10;yF0KrCFB755sz411mODt/o0LJ+SSce4MJOfivgaeDioID387o0vE8+ldFmWL6WKaBmkyWQRpNJ8H&#13;&#10;p8tZGkyW8dF4/mg+m83j313oOM0bVlVU+EDDjIHytnf7IfsmJXdjNrDylt1GclY5dy4lo9erGddo&#13;&#10;S2C4lv7zzYPsD96F9/PwdQAwDzDFSRqdJVmwnEyPgnSZjoPsKJoGUZydZZMozdL58j6mcybofl6/&#13;&#10;HxPqCpyNk7Hv1EHSD8ABS+H7BjiSt8zCAuOshQG6e0VyR8WFqIb+WsL4Tjgoh4NwVw6o2r7bnrmO&#13;&#10;rMMgrGR1DcTVEmgFScC2hUsj9VuMOlhcBTa/bYimGPEnAtifxWnqVp0X0vFRAoI+tKwOLUSU4KrA&#13;&#10;FqPhOrPDetwozdYNRIp9cYQ8hYGp2UBlN01DWgDACbCdPJTdJnXr71D2r+4W/slXAAAA//8DAFBL&#13;&#10;AwQUAAYACAAAACEAAQC+udoAAAAJAQAADwAAAGRycy9kb3ducmV2LnhtbExP0UrDQBB8F/yHYwVf&#13;&#10;xF4UkZLmUqQiFhGKqfZ5m1uTYG4vzV2T+PeuIujLLMMwszPZcnKtGqgPjWcDV7MEFHHpbcOVgdft&#13;&#10;w+UcVIjIFlvPZOCTAizz05MMU+tHfqGhiJWSEA4pGqhj7FKtQ1mTwzDzHbFo7753GIX2lbY9jhLu&#13;&#10;Wn2dJLfaYcPyocaOVjWVH8XRGRjLzbDbPj/qzcVu7fmwPqyKtydjzs+m+4XA3QJUpCn+OeB7g/SH&#13;&#10;XIrt/ZFtUK0BWRN/ULSbubD979V5pv8vyL8AAAD//wMAUEsBAi0AFAAGAAgAAAAhAFoik6P/AAAA&#13;&#10;5QEAABMAAAAAAAAAAAAAAAAAAAAAAFtDb250ZW50X1R5cGVzXS54bWxQSwECLQAUAAYACAAAACEA&#13;&#10;p0rPONcAAACWAQAACwAAAAAAAAAAAAAAAAAwAQAAX3JlbHMvLnJlbHNQSwECLQAUAAYACAAAACEA&#13;&#10;x3QzrDMDAAA4BgAADgAAAAAAAAAAAAAAAAAwAgAAZHJzL2Uyb0RvYy54bWxQSwECLQAUAAYACAAA&#13;&#10;ACEAAQC+udoAAAAJAQAADwAAAAAAAAAAAAAAAACPBQAAZHJzL2Rvd25yZXYueG1sUEsFBgAAAAAE&#13;&#10;AAQA8wAAAJYG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777777"/>
          <w:sz w:val="27"/>
          <w:szCs w:val="27"/>
        </w:rPr>
        <mc:AlternateContent>
          <mc:Choice Requires="wps">
            <w:drawing>
              <wp:inline distT="0" distB="0" distL="0" distR="0" wp14:anchorId="713698F7" wp14:editId="56972E5F">
                <wp:extent cx="304800" cy="304800"/>
                <wp:effectExtent l="0" t="0" r="0" b="0"/>
                <wp:docPr id="7" name="Прямоугольник 7" descr="http://journal.vak.kg/wp-content/uploads/2020/06/OBRAZEC-ZHilkina-N.P.-0005-scaled.jpg%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0F9C53" id="Прямоугольник 7" o:spid="_x0000_s1026" alt="http://journal.vak.kg/wp-content/uploads/2020/06/OBRAZEC-ZHilkina-N.P.-0005-scaled.jpg%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/MDXIzAwAAOAYAAA4AAABkcnMvZTJvRG9jLnhtbKxUzW7cNhC+F+g7EAR61Oon2h8JlgN7&#13;&#10;f9oCbmIk6SU3rkStGFMkS3JXdosCBXIN0EfoQ/RS5O8Z5DfqkNq1125OQXUgODPUzHwz38zJ0+uW&#13;&#10;ox3VhklR4HgUYURFKSsmNgX++dUqmGFkLBEV4VLQAt9Qg5+efvvNSadymshG8opqBE6EyTtV4MZa&#13;&#10;lYehKRvaEjOSigow1lK3xIKoN2GlSQfeWx4mUTQJO6krpWVJjQHtYjDiU++/rmlpn9e1oRbxAkNu&#13;&#10;1p/an2t/hqcnJN9oohpW7vMgX5FGS5iAqHeuFsQStNXsP65aVmppZG1HpWxDWdespB4EwImjR3Be&#13;&#10;NkRRDwaqY9Rdncz/57Z8trvUiFUFnmIkSAs96v+6/eP2z/5j//n2bf93/7n/cPuu/9T/079H8Kai&#13;&#10;poQC7hv1Rm61IHy0I1ejq03YqaCUwlJhw63iklQGYCVRCI16fv7i7PVyHrz+gfErJkjwbHQ5CqIo&#13;&#10;GgemJJxWozdq812SYAQt6ZTJIbOX6lK7ohp1Icsrg4ScN0Rs6JlR0FngG6R8UGktu4ZCRK8GH5DM&#13;&#10;kRMnGHCH1t1PsgKUZGul79h1rVsXBHqBrj0nbu6ZQa8tKkH7JEpnERCoBNvh7mKQ/PC70sZ+T2WL&#13;&#10;3KXAGhL07snuwliHCd4e3rhwQq4Y585Aci4eauDpoILw8LczukQ8n37Lomw5W87SIE0myyCNFovg&#13;&#10;bDVPg8kqno4XTxbz+SL+3YWO07xhVUWFDzTMGCjvencYsi9Scj9mAyvv2G0kZ5Vz51IyerOec412&#13;&#10;BIZr5T/fPMj+6F34MA9fBwDzCFOcpNF5kgWryWwapKt0HGTTaBZEcXaeTaI0Sxerh5gumKCHef16&#13;&#10;TKgrcDZOxr5TR0k/Agcshe8L4EjeMgsLjLO2wECQwyuSOyouRTX01xLG98JRORyE+3JA1Q7d9sx1&#13;&#10;ZB0GYS2rGyCulkArSAK2LVwaqX/FqIPFVWDzy5ZoihH/UQD7szhN3arzQjqeJiDoY8v62EJECa4K&#13;&#10;bDEarnM7rMet0mzTQKTYF0fIMxiYmg1UdtM0pAUAnADbyUPZb1K3/o5l/+p+4Z/+CwAA//8DAFBL&#13;&#10;AwQUAAYACAAAACEAAQC+udoAAAAJAQAADwAAAGRycy9kb3ducmV2LnhtbExP0UrDQBB8F/yHYwVf&#13;&#10;xF4UkZLmUqQiFhGKqfZ5m1uTYG4vzV2T+PeuIujLLMMwszPZcnKtGqgPjWcDV7MEFHHpbcOVgdft&#13;&#10;w+UcVIjIFlvPZOCTAizz05MMU+tHfqGhiJWSEA4pGqhj7FKtQ1mTwzDzHbFo7753GIX2lbY9jhLu&#13;&#10;Wn2dJLfaYcPyocaOVjWVH8XRGRjLzbDbPj/qzcVu7fmwPqyKtydjzs+m+4XA3QJUpCn+OeB7g/SH&#13;&#10;XIrt/ZFtUK0BWRN/ULSbubD979V5pv8vyL8AAAD//wMAUEsBAi0AFAAGAAgAAAAhAFoik6P/AAAA&#13;&#10;5QEAABMAAAAAAAAAAAAAAAAAAAAAAFtDb250ZW50X1R5cGVzXS54bWxQSwECLQAUAAYACAAAACEA&#13;&#10;p0rPONcAAACWAQAACwAAAAAAAAAAAAAAAAAwAQAAX3JlbHMvLnJlbHNQSwECLQAUAAYACAAAACEA&#13;&#10;X8wNcjMDAAA4BgAADgAAAAAAAAAAAAAAAAAwAgAAZHJzL2Uyb0RvYy54bWxQSwECLQAUAAYACAAA&#13;&#10;ACEAAQC+udoAAAAJAQAADwAAAAAAAAAAAAAAAACPBQAAZHJzL2Rvd25yZXYueG1sUEsFBgAAAAAE&#13;&#10;AAQA8wAAAJYGAAAAAA==&#13;&#10;" filled="f" stroked="f">
                <o:lock v:ext="edit" aspectratio="t"/>
                <w10:anchorlock/>
              </v:rect>
            </w:pict>
          </mc:Fallback>
        </mc:AlternateContent>
      </w:r>
    </w:p>
    <w:sectPr w:rsidR="00D61BF9" w:rsidRPr="00D6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B22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BC3B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F9"/>
    <w:rsid w:val="00AC54DC"/>
    <w:rsid w:val="00D6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9491"/>
  <w15:chartTrackingRefBased/>
  <w15:docId w15:val="{D31F5039-1840-BF4F-B63E-337EF700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1B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1B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D61BF9"/>
    <w:rPr>
      <w:color w:val="0000FF"/>
      <w:u w:val="single"/>
    </w:rPr>
  </w:style>
  <w:style w:type="character" w:styleId="a4">
    <w:name w:val="Strong"/>
    <w:basedOn w:val="a0"/>
    <w:uiPriority w:val="22"/>
    <w:qFormat/>
    <w:rsid w:val="00D61BF9"/>
    <w:rPr>
      <w:b/>
      <w:bCs/>
    </w:rPr>
  </w:style>
  <w:style w:type="paragraph" w:styleId="a5">
    <w:name w:val="Normal (Web)"/>
    <w:basedOn w:val="a"/>
    <w:uiPriority w:val="99"/>
    <w:unhideWhenUsed/>
    <w:rsid w:val="00D61B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s-text-align-right">
    <w:name w:val="has-text-align-right"/>
    <w:basedOn w:val="a"/>
    <w:rsid w:val="00D61B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a"/>
    <w:rsid w:val="00D61B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5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338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3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://journal.vak.kg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1772</Words>
  <Characters>10105</Characters>
  <Application>Microsoft Office Word</Application>
  <DocSecurity>0</DocSecurity>
  <Lines>84</Lines>
  <Paragraphs>23</Paragraphs>
  <ScaleCrop>false</ScaleCrop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2021-10-18T06:22:00Z</dcterms:created>
  <dcterms:modified xsi:type="dcterms:W3CDTF">2021-10-18T06:22:00Z</dcterms:modified>
</cp:coreProperties>
</file>